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407</w:t>
      </w:r>
    </w:p>
    <w:p>
      <w:r>
        <w:t>Bundesgericht (BGE), 1984-12-14, DE</w:t>
      </w:r>
    </w:p>
    <w:p>
      <w:r>
        <w:rPr>
          <w:b/>
        </w:rPr>
        <w:t xml:space="preserve">Quelle: </w:t>
      </w:r>
      <w:r>
        <w:t>https://mcp.opencaselaw.ch/entscheid/bge_116 II 407</w:t>
      </w:r>
    </w:p>
    <w:p>
      <w:r>
        <w:t>FR: ATF 116 II 407</w:t>
      </w:r>
    </w:p>
    <w:p>
      <w:r>
        <w:t>IT: DTF 116 II 407</w:t>
      </w:r>
    </w:p>
    <w:p>
      <w:pPr>
        <w:pStyle w:val="Heading2"/>
      </w:pPr>
      <w:r>
        <w:t>Regeste</w:t>
      </w:r>
    </w:p>
    <w:p>
      <w:r>
        <w:t>Regeste Fürsorgerische Freiheitsentziehung; Frist für die Verantwortlichkeitsklage nach Art. 429a ZGB. Die Klagefrist für Verantwortlichkeitsansprüche gemäss Art. 429a ZGB beträgt ein Jahr. Wo die fürsorgerische Freiheitsentziehung einen Bevormundeten betroffen hatte, beginnt der Fristenlauf erst mit der Aufhebung der Vormundschaft.</w:t>
      </w:r>
    </w:p>
    <w:p>
      <w:pPr>
        <w:pStyle w:val="Heading2"/>
      </w:pPr>
      <w:r>
        <w:t>Erwägungen</w:t>
      </w:r>
    </w:p>
    <w:p>
      <w:r>
        <w:rPr>
          <w:b/>
        </w:rPr>
        <w:t>E. 2</w:t>
      </w:r>
    </w:p>
    <w:p>
      <w:r>
        <w:t>a) Art. 429a ZGB bestimmt, dass derjenige, der durch eine widerrechtliche (fürsorgerische) Freiheitsentziehung verletzt wird, Anspruch auf Schadenersatz und, wo die Schwere der Verletzung es rechtfertigt, auf Genugtuung hat (Abs. 1) und dass der Kanton haftbar ist (Abs. 2). Eine besondere Regelung bezüglich der Verjährung der entsprechenden Klage enthält das Gesetz nicht. Für die Verantwortlichkeitsklage gegen den Vormund und die unmittelbar haftenden Mitglieder der vormundschaftlichen Behörden sieht Art. 454 Abs. 1 ZGB eine Verjährungsfrist von einem Jahr ab Zustellung der Schlussrechnung vor. Gegenüber den anderen Mitgliedern der vormundschaftlichen Behörden und gegenüber den Gemeinden oder Kreisen sowie ferner gegenüber dem Kanton verjährt die Klage mit Ablauf eines Jahres, nachdem sie erhoben werden konnte ( Art. 454 Abs. 2 ZGB ). Die Verjährung der Klage gegen die Mitglieder der vormundschaftlichen Behörden oder gegen die Gemeinden, die Kreise oder den Kanton beginnt in keinem Fall vor dem Aufhören der Vormundschaft ( Art. 454 Abs. 3 ZGB ). Unter Vorbehalt noch längerer Strafklagefristen legt Art. 455 ZGB eine ausserordentliche Verjährungsfrist von zehn Jahren fest. b) Die Verantwortlichkeit gemäss Art. 429a ZGB unterscheidet sich von den in den Art. 454 und 455 ZGB geregelten Tatbeständen insofern, als hier eine direkte Haftung einzig des Kantons vorgesehen ist. Diesem wird freilich die Möglichkeit eingeräumt, auf Personen zurückzugreifen, die den widerrechtlichen Freiheitsentzug absichtlich oder grobfahrlässig verursacht haben ( Art. 429a Abs. 2 ZGB ). Zu beachten ist auch, dass die Verantwortlichkeit zufolge widerrechtlicher fürsorgerischer Freiheitsentziehung im Gegensatz zu derjenigen im Zusammenhang mit der Führung der Vormundschaft nicht notwendigerweise auch bei der Vermögensverwaltung anknüpft und somit nicht in jedem Fall von der Zustellung der Schlussrechnung ausgehen kann. Der - durch Art. 5 Ziff. 5 EMRK vorgegebene - verschuldensunabhängige Tatbestand des Art. 429a ZGB ist in der Tat auf die Person, und nicht auf das Vermögen, zugeschnitten, auch wenn nicht nur Genugtuung, sondern auch Schadenersatz in Betracht fällt. Es kommt hinzu, dass die fürsorgerische Freiheitsentziehung sich zwar als vormundschaftliche Massnahme versteht, indessen nicht in jedem Fall auch zu einer Bevormundung führen muss. BGE 116 II 407 S. 410 In Anbetracht der angeführten Umstände können die Art. 454 und 455 ZGB , die vom Aufhören der Vormundschaft ausgehen ( Art. 454 Abs. 3 ZGB ), hier von vornherein nur sinngemäss zur Anwendung gelangen. c) Das Bundesgericht hatte schon vor dem Inkrafttreten der Gesetzesnovelle vom 6. Oktober 1978 ( Art. 397a ff. ZGB ) festgehalten, die Verjährungsbestimmung des Art. 454 ZGB beziehe sich nicht nur auf die Verantwortlichkeit aus der Führung der Vormundschaft im engern Sinne, sondern erstrecke sich auch auf weitere vormundschaftliche Massnahmen, ungeachtet des Umstandes, dass beispielsweise nicht von einer Schlussrechnung ausgegangen werden könne. Auf jeden Fall sei es in diesem erweiterten Bereich der Vormundschaft nicht angezeigt, die gemeinrechtliche Verjährungsfrist von zehn Jahren gemäss Art. 127 OR zur Anwendung zu bringen. Das Bundesgericht führte weiter aus, dass der Verantwortlichkeit im Zusammenhang mit vormundschaftlichen Massnahmen oder deren Unterlassen eine unerlaubte Handlung zugrunde liege, so dass ausserhalb der Sonderbestimmungen des Vormundschaftsrechts letztlich auf Art. 60 OR , und nicht auf Art. 127 ff. OR , zurückgegriffen werden müsste (vgl. BGE 68 II 353 f.). d) In der Lehre dreht sich die Diskussion ebenfalls einzig darum, ob die Verjährungsfrist für die Verantwortlichkeitsklage im Bereiche der erweiterten Vormundschaft durch sinngemässe Anwendung der Art. 454 f. ZGB bestimmt werden könne oder ob die massgebende Regel direkt Art. 60 OR zu entnehmen sei (vgl. MATTMANN, Die Verantwortlichkeit bei der fürsorgerischen Freiheitsentziehung, Diss. Freiburg 1988, S. 222 f.; SPIRO, Die Begrenzung privater Rechte durch Verjährungs-, Verwirkungs- und Fatalfristen, § 297, S. 701, Anm. 30; dazu auch AEPLI, Die Verantwortlichkeit der vormundschaftlichen Organe, Diss. Freiburg 1979, S. 69). e) Von praktischer Bedeutung ist die erwähnte Frage allerdings insofern kaum, als sowohl im Rahmen von Art. 454 ZGB als auch aufgrund von Art. 60 OR grundsätzlich von einer Frist von einem Jahr seit Kenntnis des Schadens und des Schädigers auszugehen ist. Art. 454 ZGB müsste im übrigen auf jeden Fall dort neben Art. 60 OR beachtlich bleiben, wo - wie hier - die fürsorgerische Freiheitsentziehung einen Bevormundeten betrifft. Der Vormundschaft als solcher ist bei einer derartigen Sachlage insofern eigens Rechnung zu tragen, als die fürsorgerische Freiheitsentziehung vor ihr BGE 116 II 407 S. 411 beendet sein kann. Auch wenn sich schon vor dem Ende der Vormundschaft die Kenntnis eines Schadens (bzw. der Gesetzwidrigkeit eines Freiheitsentzugs) und des Ersatzpflichtigen (bzw. Schädigers) eingestellt hat, muss Art. 454 Abs. 3 ZGB angewendet werden, wonach die Verjährung der Verantwortlichkeitsklage in keinem Fall vor dem Aufhören der Vormundschaft beginnt. Der hinter dieser Regelung stehende Grundgedanke kommt übrigens auch in Art. 134 Abs. 1 Ziff. 2 OR zum Ausdruck, wonach die Verjährung für eine Forderung des Mündels gegen den Vormund oder gegen die vormundschaftlichen Behörden nicht beginnt während der Dauer der Vormundschaft, d.h. des Abhängigkeitsverhältnisses (dazu MATTMANN, a.a.O., S. 224 f.; ferner auch BGE 68 II 354 und BGE 65 II 211 ff.). f) Zusammenfassend ist festzuhalten, dass die Klagefrist für den hier in Frage stehenden Verantwortlichkeitsanspruch aus Art. 429a ZGB ein Jahr beträgt und grundsätzlich mit dem Hinfall der freiheitsentziehenden Massnahme zu laufen beginnt. Solange noch eine Vormundschaft besteht, wird indessen der Fristenlauf - ungeachtet der Kenntnis von Schaden und Schädiger - nicht ausgelöst.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